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877786" cy="985838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7786" cy="985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2021</w:t>
      </w:r>
      <w:r w:rsidDel="00000000" w:rsidR="00000000" w:rsidRPr="00000000">
        <w:rPr>
          <w:b w:val="1"/>
          <w:sz w:val="36"/>
          <w:szCs w:val="36"/>
          <w:rtl w:val="0"/>
        </w:rPr>
        <w:t xml:space="preserve"> NC SOPHE Annual Scholarships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Undergraduate &amp; Emily T. Tyler Graduate Scholarship </w:t>
      </w:r>
    </w:p>
    <w:p w:rsidR="00000000" w:rsidDel="00000000" w:rsidP="00000000" w:rsidRDefault="00000000" w:rsidRPr="00000000" w14:paraId="00000008">
      <w:pPr>
        <w:ind w:left="720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The NC SOPHE Annual Scholarship Award and the Emily T. Tyler Academic Scholarship Awards are one-year scholarships in the amount of $500.00 for a NC SOPHE member who is actively enrolled in a health education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undergraduate or graduate degree program </w:t>
      </w:r>
      <w:r w:rsidDel="00000000" w:rsidR="00000000" w:rsidRPr="00000000">
        <w:rPr>
          <w:sz w:val="22"/>
          <w:szCs w:val="22"/>
          <w:rtl w:val="0"/>
        </w:rPr>
        <w:t xml:space="preserve">(or related field).  Determination will be based upon the eligibility criteria, selection criteria, and a complete application package.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Eligibility Criteria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To be eligible for the award, an individual must be: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tabs>
          <w:tab w:val="left" w:pos="432"/>
        </w:tabs>
        <w:ind w:left="792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CURRENT, dues-paying member of NC SOPHE as of the date of application.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tabs>
          <w:tab w:val="left" w:pos="432"/>
        </w:tabs>
        <w:ind w:left="792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Pursuing an academic degree in health education or a closely related field at the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baccalaureate, master’s or doctoral level</w:t>
      </w:r>
      <w:r w:rsidDel="00000000" w:rsidR="00000000" w:rsidRPr="00000000">
        <w:rPr>
          <w:sz w:val="22"/>
          <w:szCs w:val="22"/>
          <w:rtl w:val="0"/>
        </w:rPr>
        <w:t xml:space="preserve"> during the 2021-2022 academic year.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tabs>
          <w:tab w:val="left" w:pos="432"/>
        </w:tabs>
        <w:ind w:left="792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Actively involved in the practice of health education or participating in academic health education activities, projects and/or research (performing health education activities at a professional level of competence).</w:t>
      </w:r>
    </w:p>
    <w:p w:rsidR="00000000" w:rsidDel="00000000" w:rsidP="00000000" w:rsidRDefault="00000000" w:rsidRPr="00000000" w14:paraId="00000011">
      <w:pPr>
        <w:tabs>
          <w:tab w:val="left" w:pos="432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Selection Criteria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Criteria for selection are as follows: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tabs>
          <w:tab w:val="left" w:pos="432"/>
        </w:tabs>
        <w:ind w:left="792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Show promise of making a significant contribution to the professional practice of health education in North Carolina.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tabs>
          <w:tab w:val="left" w:pos="432"/>
        </w:tabs>
        <w:ind w:left="792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Has been involved in health education activities over the past three years (if appropriate, school transcripts may be requested).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tabs>
          <w:tab w:val="left" w:pos="432"/>
        </w:tabs>
        <w:ind w:left="792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Preference will be given to the applicant who: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tabs>
          <w:tab w:val="left" w:pos="432"/>
        </w:tabs>
        <w:ind w:left="1152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Has not received the award previously.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tabs>
          <w:tab w:val="left" w:pos="432"/>
        </w:tabs>
        <w:ind w:left="1152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Is attending a North Carolina college or university.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tabs>
          <w:tab w:val="left" w:pos="432"/>
        </w:tabs>
        <w:ind w:left="1152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Is enrolled in a health education program.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tabs>
          <w:tab w:val="left" w:pos="432"/>
        </w:tabs>
        <w:ind w:left="1152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Has been actively involved in the delivery of health education services.</w:t>
      </w:r>
    </w:p>
    <w:p w:rsidR="00000000" w:rsidDel="00000000" w:rsidP="00000000" w:rsidRDefault="00000000" w:rsidRPr="00000000" w14:paraId="0000001A">
      <w:pPr>
        <w:tabs>
          <w:tab w:val="left" w:pos="432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Package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To be considered for the award, applicants must: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tabs>
          <w:tab w:val="left" w:pos="432"/>
        </w:tabs>
        <w:ind w:left="792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Application Form</w:t>
      </w:r>
      <w:r w:rsidDel="00000000" w:rsidR="00000000" w:rsidRPr="00000000">
        <w:rPr>
          <w:sz w:val="22"/>
          <w:szCs w:val="22"/>
          <w:rtl w:val="0"/>
        </w:rPr>
        <w:t xml:space="preserve">: Complete and submit the application online at 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NCSOPHE2021ScholarshipApplication</w:t>
        </w:r>
      </w:hyperlink>
      <w:r w:rsidDel="00000000" w:rsidR="00000000" w:rsidRPr="00000000">
        <w:rPr>
          <w:color w:val="ff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tabs>
          <w:tab w:val="left" w:pos="432"/>
        </w:tabs>
        <w:ind w:left="792" w:hanging="360"/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Obtain Three Recommendations</w:t>
      </w:r>
      <w:r w:rsidDel="00000000" w:rsidR="00000000" w:rsidRPr="00000000">
        <w:rPr>
          <w:sz w:val="22"/>
          <w:szCs w:val="22"/>
          <w:rtl w:val="0"/>
        </w:rPr>
        <w:t xml:space="preserve">: The recommendations should be from individuals familiar with the professional and/or academic skills and abilities of the applicant.  Each person providing a reference should complete recommendation form online at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https://tinyurl.com/2021SCHOLARSHIPRECOMMENDATION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Recommendation forms must be submitted by the person making the recommendation. Recommendations will NOT be accepted if submitted by the applicant.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240" w:lineRule="auto"/>
        <w:ind w:left="8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recommendation must be from a current member of NC SOPHE.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recommendation must be from a current member of NC SOPHE.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recommendation must be from a professional supervisor or, if the applicant is a student, from a department chair of the school in which the applicant is currently enrolled.  The recommendation from the department chair must include a statement that the applicant has been accepted into a degree program and is currently working towards a degree.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recommendation must be from a co-worker, professor or community member who has worked with the applicant on a health education project.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tabs>
          <w:tab w:val="left" w:pos="432"/>
        </w:tabs>
        <w:ind w:left="792" w:hanging="360"/>
        <w:rPr>
          <w:color w:val="ff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u w:val="single"/>
          <w:rtl w:val="0"/>
        </w:rPr>
        <w:t xml:space="preserve">Deadline</w:t>
      </w:r>
      <w:r w:rsidDel="00000000" w:rsidR="00000000" w:rsidRPr="00000000">
        <w:rPr>
          <w:sz w:val="22"/>
          <w:szCs w:val="22"/>
          <w:rtl w:val="0"/>
        </w:rPr>
        <w:t xml:space="preserve">: The completed application packet, including recommendations, must be received by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August 28, 2020 at 5:00 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432"/>
        </w:tabs>
        <w:ind w:left="10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"/>
        </w:tabs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Notification of Scholarship Recipient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letter will be sent to the scholarship winner and the winner will be presented during the Awards </w:t>
      </w:r>
      <w:r w:rsidDel="00000000" w:rsidR="00000000" w:rsidRPr="00000000">
        <w:rPr>
          <w:sz w:val="22"/>
          <w:szCs w:val="22"/>
          <w:rtl w:val="0"/>
        </w:rPr>
        <w:t xml:space="preserve">Section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the NC SOPHE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Annual Meeting </w:t>
      </w:r>
      <w:r w:rsidDel="00000000" w:rsidR="00000000" w:rsidRPr="00000000">
        <w:rPr>
          <w:sz w:val="22"/>
          <w:szCs w:val="22"/>
          <w:rtl w:val="0"/>
        </w:rPr>
        <w:t xml:space="preserve">held virtually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November 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The scholarship recipient </w:t>
      </w:r>
      <w:r w:rsidDel="00000000" w:rsidR="00000000" w:rsidRPr="00000000">
        <w:rPr>
          <w:sz w:val="22"/>
          <w:szCs w:val="22"/>
          <w:rtl w:val="0"/>
        </w:rPr>
        <w:t xml:space="preserve">will receive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check in the mail. Checks will be mailed to the address provided in the application. We strongly recommend attendance to the NC SOPHE 202</w:t>
      </w:r>
      <w:r w:rsidDel="00000000" w:rsidR="00000000" w:rsidRPr="00000000">
        <w:rPr>
          <w:sz w:val="22"/>
          <w:szCs w:val="22"/>
          <w:rtl w:val="0"/>
        </w:rPr>
        <w:t xml:space="preserve">1 Annual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 questions or additional information,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please contact the Awards Committee at </w:t>
      </w:r>
      <w:hyperlink r:id="rId10">
        <w:r w:rsidDel="00000000" w:rsidR="00000000" w:rsidRPr="00000000">
          <w:rPr>
            <w:color w:val="ff0000"/>
            <w:sz w:val="22"/>
            <w:szCs w:val="22"/>
            <w:u w:val="single"/>
            <w:rtl w:val="0"/>
          </w:rPr>
          <w:t xml:space="preserve">northcarolinasopheawards@gmail.com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170" w:hanging="360"/>
      </w:pPr>
      <w:rPr/>
    </w:lvl>
    <w:lvl w:ilvl="1">
      <w:start w:val="1"/>
      <w:numFmt w:val="lowerLetter"/>
      <w:lvlText w:val="%2."/>
      <w:lvlJc w:val="left"/>
      <w:pPr>
        <w:ind w:left="1890" w:hanging="360"/>
      </w:pPr>
      <w:rPr/>
    </w:lvl>
    <w:lvl w:ilvl="2">
      <w:start w:val="1"/>
      <w:numFmt w:val="lowerRoman"/>
      <w:lvlText w:val="%3."/>
      <w:lvlJc w:val="right"/>
      <w:pPr>
        <w:ind w:left="2610" w:hanging="180"/>
      </w:pPr>
      <w:rPr/>
    </w:lvl>
    <w:lvl w:ilvl="3">
      <w:start w:val="1"/>
      <w:numFmt w:val="decimal"/>
      <w:lvlText w:val="%4."/>
      <w:lvlJc w:val="left"/>
      <w:pPr>
        <w:ind w:left="3330" w:hanging="360"/>
      </w:pPr>
      <w:rPr/>
    </w:lvl>
    <w:lvl w:ilvl="4">
      <w:start w:val="1"/>
      <w:numFmt w:val="lowerLetter"/>
      <w:lvlText w:val="%5."/>
      <w:lvlJc w:val="left"/>
      <w:pPr>
        <w:ind w:left="4050" w:hanging="360"/>
      </w:pPr>
      <w:rPr/>
    </w:lvl>
    <w:lvl w:ilvl="5">
      <w:start w:val="1"/>
      <w:numFmt w:val="lowerRoman"/>
      <w:lvlText w:val="%6."/>
      <w:lvlJc w:val="right"/>
      <w:pPr>
        <w:ind w:left="4770" w:hanging="180"/>
      </w:pPr>
      <w:rPr/>
    </w:lvl>
    <w:lvl w:ilvl="6">
      <w:start w:val="1"/>
      <w:numFmt w:val="decimal"/>
      <w:lvlText w:val="%7."/>
      <w:lvlJc w:val="left"/>
      <w:pPr>
        <w:ind w:left="5490" w:hanging="360"/>
      </w:pPr>
      <w:rPr/>
    </w:lvl>
    <w:lvl w:ilvl="7">
      <w:start w:val="1"/>
      <w:numFmt w:val="lowerLetter"/>
      <w:lvlText w:val="%8."/>
      <w:lvlJc w:val="left"/>
      <w:pPr>
        <w:ind w:left="6210" w:hanging="360"/>
      </w:pPr>
      <w:rPr/>
    </w:lvl>
    <w:lvl w:ilvl="8">
      <w:start w:val="1"/>
      <w:numFmt w:val="lowerRoman"/>
      <w:lvlText w:val="%9."/>
      <w:lvlJc w:val="right"/>
      <w:pPr>
        <w:ind w:left="693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432" w:hanging="432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decimal"/>
      <w:lvlText w:val="%2."/>
      <w:lvlJc w:val="left"/>
      <w:pPr>
        <w:ind w:left="792" w:firstLine="432"/>
      </w:pPr>
      <w:rPr>
        <w:rFonts w:ascii="Times New Roman" w:cs="Times New Roman" w:eastAsia="Times New Roman" w:hAnsi="Times New Roman"/>
        <w:b w:val="0"/>
        <w:color w:val="000000"/>
        <w:vertAlign w:val="baseline"/>
      </w:rPr>
    </w:lvl>
    <w:lvl w:ilvl="2">
      <w:start w:val="1"/>
      <w:numFmt w:val="lowerLetter"/>
      <w:lvlText w:val="%3."/>
      <w:lvlJc w:val="left"/>
      <w:pPr>
        <w:ind w:left="1152" w:firstLine="792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1512" w:firstLine="1152"/>
      </w:pPr>
      <w:rPr>
        <w:rFonts w:ascii="Arial" w:cs="Arial" w:eastAsia="Arial" w:hAnsi="Arial"/>
        <w:vertAlign w:val="baseline"/>
      </w:rPr>
    </w:lvl>
    <w:lvl w:ilvl="4">
      <w:start w:val="1"/>
      <w:numFmt w:val="lowerLetter"/>
      <w:lvlText w:val="%5."/>
      <w:lvlJc w:val="left"/>
      <w:pPr>
        <w:ind w:left="1872" w:firstLine="1512"/>
      </w:pPr>
      <w:rPr>
        <w:rFonts w:ascii="Arial" w:cs="Arial" w:eastAsia="Arial" w:hAnsi="Arial"/>
        <w:vertAlign w:val="baseline"/>
      </w:rPr>
    </w:lvl>
    <w:lvl w:ilvl="5">
      <w:start w:val="1"/>
      <w:numFmt w:val="lowerRoman"/>
      <w:lvlText w:val="%6."/>
      <w:lvlJc w:val="left"/>
      <w:pPr>
        <w:ind w:left="2052" w:firstLine="1872"/>
      </w:pPr>
      <w:rPr>
        <w:rFonts w:ascii="Arial" w:cs="Arial" w:eastAsia="Arial" w:hAnsi="Arial"/>
        <w:vertAlign w:val="baseline"/>
      </w:rPr>
    </w:lvl>
    <w:lvl w:ilvl="6">
      <w:start w:val="1"/>
      <w:numFmt w:val="decimal"/>
      <w:lvlText w:val="%7."/>
      <w:lvlJc w:val="left"/>
      <w:pPr>
        <w:ind w:left="2412" w:firstLine="2052"/>
      </w:pPr>
      <w:rPr>
        <w:rFonts w:ascii="Arial" w:cs="Arial" w:eastAsia="Arial" w:hAnsi="Arial"/>
        <w:vertAlign w:val="baseline"/>
      </w:rPr>
    </w:lvl>
    <w:lvl w:ilvl="7">
      <w:start w:val="1"/>
      <w:numFmt w:val="lowerLetter"/>
      <w:lvlText w:val="%8."/>
      <w:lvlJc w:val="left"/>
      <w:pPr>
        <w:ind w:left="2772" w:firstLine="2412"/>
      </w:pPr>
      <w:rPr>
        <w:rFonts w:ascii="Arial" w:cs="Arial" w:eastAsia="Arial" w:hAnsi="Arial"/>
        <w:vertAlign w:val="baseline"/>
      </w:rPr>
    </w:lvl>
    <w:lvl w:ilvl="8">
      <w:start w:val="1"/>
      <w:numFmt w:val="lowerRoman"/>
      <w:lvlText w:val="%9."/>
      <w:lvlJc w:val="left"/>
      <w:pPr>
        <w:ind w:left="2952" w:firstLine="2772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Tahoma" w:cs="Tahoma" w:eastAsia="Tahoma" w:hAnsi="Tahoma"/>
      <w:b w:val="1"/>
      <w:color w:val="78916e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spacing w:after="60" w:before="240"/>
      <w:outlineLvl w:val="0"/>
    </w:pPr>
    <w:rPr>
      <w:rFonts w:ascii="Tahoma" w:cs="Tahoma" w:eastAsia="Tahoma" w:hAnsi="Tahoma"/>
      <w:b w:val="1"/>
      <w:color w:val="78916e"/>
      <w:sz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character" w:styleId="Hyperlink">
    <w:name w:val="Hyperlink"/>
    <w:basedOn w:val="DefaultParagraphFont"/>
    <w:uiPriority w:val="99"/>
    <w:unhideWhenUsed w:val="1"/>
    <w:rsid w:val="00252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6F7602"/>
    <w:pPr>
      <w:ind w:left="720"/>
      <w:contextualSpacing w:val="1"/>
    </w:pPr>
  </w:style>
  <w:style w:type="paragraph" w:styleId="NoSpacing">
    <w:name w:val="No Spacing"/>
    <w:uiPriority w:val="1"/>
    <w:qFormat w:val="1"/>
    <w:rsid w:val="0040310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orthcarolinasopheawards@gmail.com" TargetMode="External"/><Relationship Id="rId9" Type="http://schemas.openxmlformats.org/officeDocument/2006/relationships/hyperlink" Target="https://forms.gle/FU4H1DdffLvrKrcV8MENDAT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gle/atQptLBybhJKhtf6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iGf1dUH2srDVkdeSsBKxRI/iA==">AMUW2mVBKpkjq4ZfS+F3hUp0BPm0jV9VQ498MMiOBuyRolL7vlalOisF18yq19zqz+GvQtat/ZtDt7pwwsuu0aqUpAIBx5Td35yTNu11IZrpYEg0076Q7aE1OTVfdIuMnJFs0LMN+rrAZwkDEXIBv+ErzQLqQtOrUlJyxRhPUQDEDKP8PVi3pm3d2EpQfr8IXkPjNeeB+JR8vRpl4oW9D12OVPdxjBgBHxi6S3IL9YctZQpf6jSet6LpMhRa/3D3rNG8FZ+Z7bZ9tZJ2F+W9bI6q1XkPsUKTgQCIrgTWdY/O5t0cbsJdlKn4Xv4FI2iXZmTrcOoiTS+xIZtDYyRjFfA2CWed7Ked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2020-04-13T20:28:00Z</dcterms:created>
  <dc:creator>Carrington, Annette</dc:creator>
</cp:coreProperties>
</file>